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CD36A">
      <w:pPr>
        <w:pStyle w:val="2"/>
        <w:spacing w:line="325" w:lineRule="auto"/>
      </w:pPr>
    </w:p>
    <w:p w14:paraId="564BCB7D">
      <w:pPr>
        <w:pStyle w:val="2"/>
        <w:spacing w:line="326" w:lineRule="auto"/>
      </w:pPr>
    </w:p>
    <w:p w14:paraId="19FB943D">
      <w:pPr>
        <w:spacing w:before="377" w:line="219" w:lineRule="auto"/>
        <w:jc w:val="right"/>
        <w:outlineLvl w:val="0"/>
        <w:rPr>
          <w:rFonts w:ascii="宋体" w:hAnsi="宋体" w:eastAsia="宋体" w:cs="宋体"/>
          <w:sz w:val="116"/>
          <w:szCs w:val="116"/>
        </w:rPr>
      </w:pPr>
      <w:r>
        <w:rPr>
          <w:rFonts w:ascii="宋体" w:hAnsi="宋体" w:eastAsia="宋体" w:cs="宋体"/>
          <w:b/>
          <w:bCs/>
          <w:color w:val="F51000"/>
          <w:spacing w:val="-56"/>
          <w:w w:val="49"/>
          <w:sz w:val="116"/>
          <w:szCs w:val="116"/>
        </w:rPr>
        <w:t>中共湘潭市</w:t>
      </w:r>
      <w:r>
        <w:rPr>
          <w:rFonts w:ascii="宋体" w:hAnsi="宋体" w:eastAsia="宋体" w:cs="宋体"/>
          <w:b/>
          <w:bCs/>
          <w:color w:val="F51000"/>
          <w:spacing w:val="-55"/>
          <w:w w:val="49"/>
          <w:sz w:val="116"/>
          <w:szCs w:val="116"/>
        </w:rPr>
        <w:t>委人才工作领导小组文</w:t>
      </w:r>
      <w:r>
        <w:rPr>
          <w:rFonts w:ascii="宋体" w:hAnsi="宋体" w:eastAsia="宋体" w:cs="宋体"/>
          <w:b/>
          <w:bCs/>
          <w:color w:val="F51000"/>
          <w:spacing w:val="-50"/>
          <w:w w:val="49"/>
          <w:sz w:val="116"/>
          <w:szCs w:val="116"/>
        </w:rPr>
        <w:t>件</w:t>
      </w:r>
    </w:p>
    <w:p w14:paraId="34431B8D">
      <w:pPr>
        <w:pStyle w:val="2"/>
        <w:spacing w:line="310" w:lineRule="auto"/>
      </w:pPr>
    </w:p>
    <w:p w14:paraId="63B2C344">
      <w:pPr>
        <w:pStyle w:val="2"/>
        <w:spacing w:line="311" w:lineRule="auto"/>
      </w:pPr>
    </w:p>
    <w:p w14:paraId="696EF086">
      <w:pPr>
        <w:pStyle w:val="2"/>
        <w:spacing w:line="311" w:lineRule="auto"/>
      </w:pPr>
    </w:p>
    <w:p w14:paraId="6C6B4A56">
      <w:pPr>
        <w:spacing w:before="114" w:line="222" w:lineRule="auto"/>
        <w:ind w:left="2850"/>
        <w:rPr>
          <w:rFonts w:ascii="仿宋" w:hAnsi="仿宋" w:eastAsia="仿宋" w:cs="仿宋"/>
          <w:sz w:val="35"/>
          <w:szCs w:val="35"/>
        </w:rPr>
      </w:pPr>
      <w:r>
        <w:rPr>
          <w:rFonts w:ascii="仿宋" w:hAnsi="仿宋" w:eastAsia="仿宋" w:cs="仿宋"/>
          <w:spacing w:val="-19"/>
          <w:sz w:val="35"/>
          <w:szCs w:val="35"/>
        </w:rPr>
        <w:t>潭人才发〔2024〕3号</w:t>
      </w:r>
    </w:p>
    <w:p w14:paraId="7CF132BC">
      <w:pPr>
        <w:pStyle w:val="2"/>
        <w:spacing w:line="325" w:lineRule="auto"/>
      </w:pPr>
    </w:p>
    <w:p w14:paraId="51FAC326">
      <w:pPr>
        <w:spacing w:line="39" w:lineRule="exact"/>
        <w:ind w:firstLine="150"/>
      </w:pPr>
      <w:r>
        <w:drawing>
          <wp:inline distT="0" distB="0" distL="0" distR="0">
            <wp:extent cx="5397500" cy="247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7531" cy="2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3ABDF">
      <w:pPr>
        <w:pStyle w:val="2"/>
        <w:spacing w:line="265" w:lineRule="auto"/>
      </w:pPr>
    </w:p>
    <w:p w14:paraId="78E0A675">
      <w:pPr>
        <w:pStyle w:val="2"/>
        <w:spacing w:line="265" w:lineRule="auto"/>
      </w:pPr>
    </w:p>
    <w:p w14:paraId="01751CA2">
      <w:pPr>
        <w:pStyle w:val="2"/>
        <w:spacing w:line="265" w:lineRule="auto"/>
      </w:pPr>
    </w:p>
    <w:p w14:paraId="3195B74F">
      <w:pPr>
        <w:pStyle w:val="2"/>
        <w:spacing w:line="266" w:lineRule="auto"/>
      </w:pPr>
    </w:p>
    <w:p w14:paraId="2E4D5AF5">
      <w:pPr>
        <w:spacing w:before="162" w:line="245" w:lineRule="auto"/>
        <w:ind w:left="416" w:right="236" w:hanging="190"/>
        <w:rPr>
          <w:rFonts w:ascii="宋体" w:hAnsi="宋体" w:eastAsia="宋体" w:cs="宋体"/>
          <w:sz w:val="50"/>
          <w:szCs w:val="50"/>
        </w:rPr>
      </w:pPr>
      <w:r>
        <w:rPr>
          <w:rFonts w:ascii="宋体" w:hAnsi="宋体" w:eastAsia="宋体" w:cs="宋体"/>
          <w:b/>
          <w:bCs/>
          <w:spacing w:val="-49"/>
          <w:w w:val="96"/>
          <w:sz w:val="50"/>
          <w:szCs w:val="50"/>
        </w:rPr>
        <w:t>关于印发《湘潭市市直公立医院高层次人才</w:t>
      </w:r>
      <w:r>
        <w:rPr>
          <w:rFonts w:ascii="宋体" w:hAnsi="宋体" w:eastAsia="宋体" w:cs="宋体"/>
          <w:spacing w:val="46"/>
          <w:sz w:val="50"/>
          <w:szCs w:val="50"/>
        </w:rPr>
        <w:t xml:space="preserve"> </w:t>
      </w:r>
      <w:r>
        <w:rPr>
          <w:rFonts w:ascii="宋体" w:hAnsi="宋体" w:eastAsia="宋体" w:cs="宋体"/>
          <w:b/>
          <w:bCs/>
          <w:spacing w:val="-35"/>
          <w:sz w:val="50"/>
          <w:szCs w:val="50"/>
        </w:rPr>
        <w:t>“引育用留”若干措施(试行)》的通知</w:t>
      </w:r>
    </w:p>
    <w:p w14:paraId="6B3D0B4C">
      <w:pPr>
        <w:pStyle w:val="2"/>
      </w:pPr>
    </w:p>
    <w:p w14:paraId="1B9FCF9C">
      <w:pPr>
        <w:pStyle w:val="2"/>
        <w:spacing w:line="241" w:lineRule="auto"/>
      </w:pPr>
    </w:p>
    <w:p w14:paraId="17DAC4FF">
      <w:pPr>
        <w:pStyle w:val="2"/>
        <w:spacing w:line="241" w:lineRule="auto"/>
      </w:pPr>
    </w:p>
    <w:p w14:paraId="50CAA820">
      <w:pPr>
        <w:spacing w:before="36" w:line="291" w:lineRule="auto"/>
        <w:jc w:val="both"/>
        <w:rPr>
          <w:rFonts w:ascii="仿宋" w:hAnsi="仿宋" w:eastAsia="仿宋" w:cs="仿宋"/>
          <w:spacing w:val="-30"/>
          <w:sz w:val="35"/>
          <w:szCs w:val="35"/>
        </w:rPr>
      </w:pPr>
      <w:r>
        <w:rPr>
          <w:rFonts w:ascii="仿宋" w:hAnsi="仿宋" w:eastAsia="仿宋" w:cs="仿宋"/>
          <w:spacing w:val="-30"/>
          <w:sz w:val="35"/>
          <w:szCs w:val="35"/>
        </w:rPr>
        <w:t>各市直单位、各市直公立医院：</w:t>
      </w:r>
    </w:p>
    <w:p w14:paraId="62416C1B">
      <w:pPr>
        <w:spacing w:before="36" w:line="291" w:lineRule="auto"/>
        <w:ind w:firstLine="485"/>
        <w:jc w:val="both"/>
        <w:rPr>
          <w:rFonts w:ascii="仿宋" w:hAnsi="仿宋" w:eastAsia="仿宋" w:cs="仿宋"/>
          <w:spacing w:val="-30"/>
          <w:sz w:val="35"/>
          <w:szCs w:val="35"/>
        </w:rPr>
      </w:pPr>
      <w:r>
        <w:rPr>
          <w:rFonts w:ascii="仿宋" w:hAnsi="仿宋" w:eastAsia="仿宋" w:cs="仿宋"/>
          <w:spacing w:val="-30"/>
          <w:sz w:val="35"/>
          <w:szCs w:val="35"/>
        </w:rPr>
        <w:t xml:space="preserve">《湘潭市市直公立医院高层次人才“引育用留”若干措施(试 </w:t>
      </w:r>
      <w:r>
        <w:rPr>
          <w:rFonts w:ascii="仿宋" w:hAnsi="仿宋" w:eastAsia="仿宋" w:cs="仿宋"/>
          <w:spacing w:val="-30"/>
          <w:sz w:val="35"/>
          <w:szCs w:val="35"/>
        </w:rPr>
        <w:t>行)》经市委常委会会议审议通过，现印发给你们，请结合实际 贯彻执行。</w:t>
      </w:r>
    </w:p>
    <w:p w14:paraId="0B6E9AF0">
      <w:pPr>
        <w:pStyle w:val="2"/>
        <w:spacing w:line="308" w:lineRule="auto"/>
      </w:pPr>
    </w:p>
    <w:p w14:paraId="105F70FB">
      <w:pPr>
        <w:pStyle w:val="2"/>
        <w:spacing w:line="309" w:lineRule="auto"/>
      </w:pPr>
    </w:p>
    <w:p w14:paraId="51F1C026">
      <w:pPr>
        <w:pStyle w:val="2"/>
        <w:spacing w:line="309" w:lineRule="auto"/>
      </w:pPr>
    </w:p>
    <w:p w14:paraId="4527D6C9">
      <w:pPr>
        <w:spacing w:before="160" w:line="220" w:lineRule="auto"/>
        <w:ind w:left="3820"/>
        <w:rPr>
          <w:rFonts w:ascii="仿宋" w:hAnsi="仿宋" w:eastAsia="仿宋" w:cs="仿宋"/>
          <w:sz w:val="49"/>
          <w:szCs w:val="4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3054350</wp:posOffset>
            </wp:positionH>
            <wp:positionV relativeFrom="paragraph">
              <wp:posOffset>-330200</wp:posOffset>
            </wp:positionV>
            <wp:extent cx="1581150" cy="16129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81122" cy="1612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59"/>
          <w:w w:val="79"/>
          <w:sz w:val="49"/>
          <w:szCs w:val="49"/>
        </w:rPr>
        <w:t>中共湘潭市委人才工作领导小组</w:t>
      </w:r>
    </w:p>
    <w:p w14:paraId="281942A2">
      <w:pPr>
        <w:spacing w:before="315" w:line="225" w:lineRule="auto"/>
        <w:ind w:left="4830"/>
        <w:rPr>
          <w:rFonts w:ascii="仿宋" w:hAnsi="仿宋" w:eastAsia="仿宋" w:cs="仿宋"/>
          <w:sz w:val="35"/>
          <w:szCs w:val="35"/>
        </w:rPr>
      </w:pPr>
      <w:r>
        <w:rPr>
          <w:rFonts w:ascii="楷体" w:hAnsi="楷体" w:eastAsia="楷体" w:cs="楷体"/>
          <w:spacing w:val="11"/>
          <w:sz w:val="35"/>
          <w:szCs w:val="35"/>
        </w:rPr>
        <w:t>2024年7</w:t>
      </w:r>
      <w:r>
        <w:rPr>
          <w:rFonts w:ascii="仿宋" w:hAnsi="仿宋" w:eastAsia="仿宋" w:cs="仿宋"/>
          <w:spacing w:val="11"/>
          <w:sz w:val="35"/>
          <w:szCs w:val="35"/>
        </w:rPr>
        <w:t>月</w:t>
      </w:r>
      <w:r>
        <w:rPr>
          <w:rFonts w:ascii="仿宋" w:hAnsi="仿宋" w:eastAsia="仿宋" w:cs="仿宋"/>
          <w:spacing w:val="-46"/>
          <w:sz w:val="35"/>
          <w:szCs w:val="35"/>
        </w:rPr>
        <w:t xml:space="preserve"> </w:t>
      </w:r>
      <w:r>
        <w:rPr>
          <w:rFonts w:ascii="仿宋" w:hAnsi="仿宋" w:eastAsia="仿宋" w:cs="仿宋"/>
          <w:spacing w:val="11"/>
          <w:sz w:val="35"/>
          <w:szCs w:val="35"/>
        </w:rPr>
        <w:t>3 日</w:t>
      </w:r>
    </w:p>
    <w:p w14:paraId="60F1B406">
      <w:pPr>
        <w:spacing w:line="225" w:lineRule="auto"/>
        <w:rPr>
          <w:rFonts w:ascii="仿宋" w:hAnsi="仿宋" w:eastAsia="仿宋" w:cs="仿宋"/>
          <w:sz w:val="35"/>
          <w:szCs w:val="35"/>
        </w:rPr>
        <w:sectPr>
          <w:pgSz w:w="11900" w:h="16840"/>
          <w:pgMar w:top="1431" w:right="1481" w:bottom="0" w:left="1619" w:header="0" w:footer="0" w:gutter="0"/>
          <w:cols w:space="720" w:num="1"/>
        </w:sectPr>
      </w:pPr>
    </w:p>
    <w:p w14:paraId="4C27ED97">
      <w:pPr>
        <w:spacing w:before="377" w:line="219" w:lineRule="auto"/>
        <w:ind w:right="19"/>
        <w:jc w:val="right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22"/>
          <w:sz w:val="45"/>
          <w:szCs w:val="45"/>
        </w:rPr>
        <w:t>湘潭市市直公立医院高层次人才“引育用留”</w:t>
      </w:r>
    </w:p>
    <w:p w14:paraId="229FB9CD">
      <w:pPr>
        <w:spacing w:before="46" w:line="219" w:lineRule="auto"/>
        <w:ind w:left="273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20"/>
          <w:sz w:val="45"/>
          <w:szCs w:val="45"/>
        </w:rPr>
        <w:t>若干措施(试行)</w:t>
      </w:r>
    </w:p>
    <w:p w14:paraId="2D5B3AB0">
      <w:pPr>
        <w:pStyle w:val="2"/>
        <w:spacing w:line="347" w:lineRule="auto"/>
      </w:pPr>
    </w:p>
    <w:p w14:paraId="74ACAAC2">
      <w:pPr>
        <w:pStyle w:val="2"/>
        <w:spacing w:line="348" w:lineRule="auto"/>
      </w:pPr>
    </w:p>
    <w:p w14:paraId="54F1A44F">
      <w:pPr>
        <w:spacing w:before="104" w:line="350" w:lineRule="auto"/>
        <w:ind w:right="105" w:firstLine="6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为进一步加强市直公立医院高层次人才“引育用留”工作和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人才队伍建设，推进公立医院高质量发展，特制定如下措施：</w:t>
      </w:r>
    </w:p>
    <w:p w14:paraId="6C7486F4">
      <w:pPr>
        <w:spacing w:before="5" w:line="327" w:lineRule="auto"/>
        <w:ind w:right="89" w:firstLine="704"/>
        <w:rPr>
          <w:rFonts w:ascii="仿宋" w:hAnsi="仿宋" w:eastAsia="仿宋" w:cs="仿宋"/>
          <w:spacing w:val="3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第一条大力引进高层次人才。</w:t>
      </w:r>
      <w:r>
        <w:rPr>
          <w:rFonts w:ascii="仿宋" w:hAnsi="仿宋" w:eastAsia="仿宋" w:cs="仿宋"/>
          <w:spacing w:val="-9"/>
          <w:sz w:val="32"/>
          <w:szCs w:val="32"/>
        </w:rPr>
        <w:t>加大从市域外引进高层次人 才力度，高层次人才是指学科领军人才和急需紧缺人才。其中：</w:t>
      </w:r>
    </w:p>
    <w:p w14:paraId="4548470E">
      <w:pPr>
        <w:spacing w:before="5" w:line="327" w:lineRule="auto"/>
        <w:ind w:right="89" w:firstLine="70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学科领军人才基本条件为：取得博士学位且</w:t>
      </w:r>
      <w:r>
        <w:rPr>
          <w:rFonts w:ascii="仿宋" w:hAnsi="仿宋" w:eastAsia="仿宋" w:cs="仿宋"/>
          <w:spacing w:val="-9"/>
          <w:sz w:val="32"/>
          <w:szCs w:val="32"/>
        </w:rPr>
        <w:t>具有副高级及以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上专业技术职称。同时符合以下条件：学术造诣精深，业务能力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在本省本专业领域有一定的影响力；主持过省</w:t>
      </w:r>
      <w:r>
        <w:rPr>
          <w:rFonts w:ascii="仿宋" w:hAnsi="仿宋" w:eastAsia="仿宋" w:cs="仿宋"/>
          <w:spacing w:val="4"/>
          <w:sz w:val="32"/>
          <w:szCs w:val="32"/>
        </w:rPr>
        <w:t>级及以上科研课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题；一般应有三级医院工作经历；年龄一般在50周岁以下，取得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省级及以上人才称号者可视情况放宽年龄条件。</w:t>
      </w:r>
    </w:p>
    <w:p w14:paraId="3C55C84C">
      <w:pPr>
        <w:spacing w:before="82" w:line="332" w:lineRule="auto"/>
        <w:ind w:firstLine="6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急需紧缺人才基本条件为：取得博士学位或取得全日制硕士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研究生学历(学位)且具有副高级及以上专业技术职称。同时符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合以下条件：具有一定的学术造诣，参与过市级及以上科研课题；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9"/>
          <w:sz w:val="32"/>
          <w:szCs w:val="32"/>
        </w:rPr>
        <w:t>年龄一般在45周岁以下。</w:t>
      </w:r>
    </w:p>
    <w:p w14:paraId="24419692">
      <w:pPr>
        <w:spacing w:before="100" w:line="222" w:lineRule="auto"/>
        <w:ind w:left="644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第二条实施保底年薪制。</w:t>
      </w:r>
      <w:r>
        <w:rPr>
          <w:rFonts w:ascii="仿宋" w:hAnsi="仿宋" w:eastAsia="仿宋" w:cs="仿宋"/>
          <w:spacing w:val="3"/>
          <w:sz w:val="32"/>
          <w:szCs w:val="32"/>
        </w:rPr>
        <w:t>对引进的高层次人才采取“一人</w:t>
      </w:r>
    </w:p>
    <w:p w14:paraId="04E9A2DB">
      <w:pPr>
        <w:spacing w:before="237" w:line="221" w:lineRule="auto"/>
        <w:rPr>
          <w:rFonts w:ascii="黑体" w:hAnsi="黑体" w:eastAsia="黑体" w:cs="黑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-46990</wp:posOffset>
            </wp:positionV>
            <wp:extent cx="1562100" cy="155638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2075" cy="1556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5"/>
          <w:sz w:val="32"/>
          <w:szCs w:val="32"/>
        </w:rPr>
        <w:t>一策”、“一事一议”的方式确定保底年薪。</w:t>
      </w:r>
    </w:p>
    <w:p w14:paraId="2E333FF8">
      <w:pPr>
        <w:spacing w:before="198" w:line="222" w:lineRule="auto"/>
        <w:ind w:left="639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spacing w:val="6"/>
          <w:sz w:val="32"/>
          <w:szCs w:val="32"/>
        </w:rPr>
        <w:t>第三条实行安居保障</w:t>
      </w:r>
      <w:r>
        <w:rPr>
          <w:rFonts w:ascii="仿宋" w:hAnsi="仿宋" w:eastAsia="仿宋" w:cs="仿宋"/>
          <w:spacing w:val="6"/>
          <w:sz w:val="32"/>
          <w:szCs w:val="32"/>
        </w:rPr>
        <w:t>。对引进的学科领军人才和急需</w:t>
      </w:r>
      <w:r>
        <w:rPr>
          <w:rFonts w:ascii="仿宋" w:hAnsi="仿宋" w:eastAsia="仿宋" w:cs="仿宋"/>
          <w:spacing w:val="5"/>
          <w:sz w:val="32"/>
          <w:szCs w:val="32"/>
        </w:rPr>
        <w:t>紧缺</w:t>
      </w:r>
    </w:p>
    <w:p w14:paraId="7C05C3B0">
      <w:pPr>
        <w:spacing w:before="213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5"/>
          <w:sz w:val="32"/>
          <w:szCs w:val="32"/>
        </w:rPr>
        <w:t>人才分别给予80-90万元、50-70万元的</w:t>
      </w:r>
      <w:r>
        <w:rPr>
          <w:rFonts w:ascii="仿宋" w:hAnsi="仿宋" w:eastAsia="仿宋" w:cs="仿宋"/>
          <w:spacing w:val="4"/>
          <w:sz w:val="32"/>
          <w:szCs w:val="32"/>
        </w:rPr>
        <w:t>安家补贴。最低服务年</w:t>
      </w:r>
    </w:p>
    <w:p w14:paraId="0513976E">
      <w:pPr>
        <w:spacing w:before="217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限为5年。鼓励医院为引进的高层次人才免费</w:t>
      </w:r>
      <w:r>
        <w:rPr>
          <w:rFonts w:ascii="仿宋" w:hAnsi="仿宋" w:eastAsia="仿宋" w:cs="仿宋"/>
          <w:spacing w:val="5"/>
          <w:sz w:val="32"/>
          <w:szCs w:val="32"/>
        </w:rPr>
        <w:t>提供不超过3年的</w:t>
      </w:r>
    </w:p>
    <w:p w14:paraId="1A8E180D">
      <w:pPr>
        <w:spacing w:before="208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周转用房。</w:t>
      </w:r>
    </w:p>
    <w:p w14:paraId="125E83A9">
      <w:pPr>
        <w:spacing w:line="219" w:lineRule="auto"/>
        <w:rPr>
          <w:rFonts w:ascii="仿宋" w:hAnsi="仿宋" w:eastAsia="仿宋" w:cs="仿宋"/>
          <w:sz w:val="32"/>
          <w:szCs w:val="32"/>
        </w:rPr>
        <w:sectPr>
          <w:footerReference r:id="rId5" w:type="default"/>
          <w:pgSz w:w="11900" w:h="16840"/>
          <w:pgMar w:top="1431" w:right="1530" w:bottom="1499" w:left="1460" w:header="0" w:footer="1210" w:gutter="0"/>
          <w:cols w:space="720" w:num="1"/>
        </w:sectPr>
      </w:pPr>
    </w:p>
    <w:p w14:paraId="274F931B">
      <w:pPr>
        <w:pStyle w:val="2"/>
        <w:spacing w:line="353" w:lineRule="auto"/>
      </w:pPr>
    </w:p>
    <w:p w14:paraId="6633923B">
      <w:pPr>
        <w:spacing w:before="107" w:line="333" w:lineRule="auto"/>
        <w:ind w:right="221" w:firstLine="64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5"/>
          <w:sz w:val="33"/>
          <w:szCs w:val="33"/>
        </w:rPr>
        <w:t>第四条优化引进方式。</w:t>
      </w:r>
      <w:r>
        <w:rPr>
          <w:rFonts w:ascii="仿宋" w:hAnsi="仿宋" w:eastAsia="仿宋" w:cs="仿宋"/>
          <w:spacing w:val="-5"/>
          <w:sz w:val="33"/>
          <w:szCs w:val="33"/>
        </w:rPr>
        <w:t>高层次人才可采取直接考核的方式</w:t>
      </w:r>
      <w:r>
        <w:rPr>
          <w:rFonts w:ascii="仿宋" w:hAnsi="仿宋" w:eastAsia="仿宋" w:cs="仿宋"/>
          <w:spacing w:val="1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通过公开招聘、流动调配等渠道引进。对临床能力和学术水</w:t>
      </w:r>
      <w:r>
        <w:rPr>
          <w:rFonts w:ascii="仿宋" w:hAnsi="仿宋" w:eastAsia="仿宋" w:cs="仿宋"/>
          <w:spacing w:val="-18"/>
          <w:sz w:val="33"/>
          <w:szCs w:val="33"/>
        </w:rPr>
        <w:t>平在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全国具有较大影响，获得有国家级人才项目工程称号的高层次人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才，通过“一事一议”方式面议引进，可突破相关奖补标准。</w:t>
      </w:r>
    </w:p>
    <w:p w14:paraId="27E2A542">
      <w:pPr>
        <w:spacing w:before="55" w:line="328" w:lineRule="auto"/>
        <w:ind w:firstLine="64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9"/>
          <w:sz w:val="33"/>
          <w:szCs w:val="33"/>
        </w:rPr>
        <w:t>第五条加大柔性引才力度。</w:t>
      </w:r>
      <w:r>
        <w:rPr>
          <w:rFonts w:ascii="仿宋" w:hAnsi="仿宋" w:eastAsia="仿宋" w:cs="仿宋"/>
          <w:spacing w:val="-9"/>
          <w:sz w:val="33"/>
          <w:szCs w:val="33"/>
        </w:rPr>
        <w:t>通过设立特聘专家、技术顾问、</w:t>
      </w:r>
      <w:r>
        <w:rPr>
          <w:rFonts w:ascii="仿宋" w:hAnsi="仿宋" w:eastAsia="仿宋" w:cs="仿宋"/>
          <w:spacing w:val="1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8"/>
          <w:sz w:val="33"/>
          <w:szCs w:val="33"/>
        </w:rPr>
        <w:t>技术合作等形式，采取“一事一议”方式柔性引进院士(团队)、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8"/>
          <w:sz w:val="33"/>
          <w:szCs w:val="33"/>
        </w:rPr>
        <w:t>国家级知名专家等顶尖人才、高端人才入潭服务。柔性引才最低</w:t>
      </w:r>
      <w:r>
        <w:rPr>
          <w:rFonts w:ascii="仿宋" w:hAnsi="仿宋" w:eastAsia="仿宋" w:cs="仿宋"/>
          <w:spacing w:val="4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5"/>
          <w:sz w:val="33"/>
          <w:szCs w:val="33"/>
        </w:rPr>
        <w:t>服务年限不少于3年，按每年不低于30万元给予人才资金补助。</w:t>
      </w:r>
    </w:p>
    <w:p w14:paraId="65AFC933">
      <w:pPr>
        <w:spacing w:before="60" w:line="332" w:lineRule="auto"/>
        <w:ind w:right="90" w:firstLine="64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5"/>
          <w:sz w:val="33"/>
          <w:szCs w:val="33"/>
        </w:rPr>
        <w:t>第六条提供职业发展平台。</w:t>
      </w:r>
      <w:r>
        <w:rPr>
          <w:rFonts w:ascii="仿宋" w:hAnsi="仿宋" w:eastAsia="仿宋" w:cs="仿宋"/>
          <w:spacing w:val="-5"/>
          <w:sz w:val="33"/>
          <w:szCs w:val="33"/>
        </w:rPr>
        <w:t>对引进的学科领军人才，符合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6"/>
          <w:sz w:val="33"/>
          <w:szCs w:val="33"/>
        </w:rPr>
        <w:t>条件的，可担任临床科室负责人职务。在办理专业技术岗位聘用</w:t>
      </w:r>
      <w:r>
        <w:rPr>
          <w:rFonts w:ascii="仿宋" w:hAnsi="仿宋" w:eastAsia="仿宋" w:cs="仿宋"/>
          <w:spacing w:val="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22"/>
          <w:sz w:val="33"/>
          <w:szCs w:val="33"/>
        </w:rPr>
        <w:t>手续时，可特设岗位，首次聘用不受专业技术岗</w:t>
      </w:r>
      <w:r>
        <w:rPr>
          <w:rFonts w:ascii="仿宋" w:hAnsi="仿宋" w:eastAsia="仿宋" w:cs="仿宋"/>
          <w:spacing w:val="-23"/>
          <w:sz w:val="33"/>
          <w:szCs w:val="33"/>
        </w:rPr>
        <w:t>位结构比例限制。</w:t>
      </w:r>
    </w:p>
    <w:p w14:paraId="0378740A">
      <w:pPr>
        <w:spacing w:before="38" w:line="336" w:lineRule="auto"/>
        <w:ind w:right="201" w:firstLine="64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4"/>
          <w:sz w:val="33"/>
          <w:szCs w:val="33"/>
        </w:rPr>
        <w:t>第七条保障配偶就业。</w:t>
      </w:r>
      <w:r>
        <w:rPr>
          <w:rFonts w:ascii="仿宋" w:hAnsi="仿宋" w:eastAsia="仿宋" w:cs="仿宋"/>
          <w:spacing w:val="-4"/>
          <w:sz w:val="33"/>
          <w:szCs w:val="33"/>
        </w:rPr>
        <w:t>对引进的高层次人才配偶坚持双向</w:t>
      </w:r>
      <w:r>
        <w:rPr>
          <w:rFonts w:ascii="仿宋" w:hAnsi="仿宋" w:eastAsia="仿宋" w:cs="仿宋"/>
          <w:spacing w:val="3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选择为主、统筹调配为辅的原则安排就业。属机关事</w:t>
      </w:r>
      <w:r>
        <w:rPr>
          <w:rFonts w:ascii="仿宋" w:hAnsi="仿宋" w:eastAsia="仿宋" w:cs="仿宋"/>
          <w:spacing w:val="-17"/>
          <w:sz w:val="33"/>
          <w:szCs w:val="33"/>
        </w:rPr>
        <w:t>业单位在编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人员的，根据个人情况和接收单位意向，由市卫健委牵头汇总有</w:t>
      </w:r>
      <w:r>
        <w:rPr>
          <w:rFonts w:ascii="仿宋" w:hAnsi="仿宋" w:eastAsia="仿宋" w:cs="仿宋"/>
          <w:spacing w:val="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关情况，市委人才办、市委组织部、市委编办</w:t>
      </w:r>
      <w:r>
        <w:rPr>
          <w:rFonts w:ascii="仿宋" w:hAnsi="仿宋" w:eastAsia="仿宋" w:cs="仿宋"/>
          <w:spacing w:val="-16"/>
          <w:sz w:val="33"/>
          <w:szCs w:val="33"/>
        </w:rPr>
        <w:t>、市人社局等部门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协调解决流动调配问题。属其他单位的，由引进人</w:t>
      </w:r>
      <w:r>
        <w:rPr>
          <w:rFonts w:ascii="仿宋" w:hAnsi="仿宋" w:eastAsia="仿宋" w:cs="仿宋"/>
          <w:spacing w:val="-17"/>
          <w:sz w:val="33"/>
          <w:szCs w:val="33"/>
        </w:rPr>
        <w:t>才所在医院协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调解决就业问题。</w:t>
      </w:r>
    </w:p>
    <w:p w14:paraId="35A81F4C">
      <w:pPr>
        <w:spacing w:before="15" w:line="332" w:lineRule="auto"/>
        <w:ind w:right="201" w:firstLine="654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b/>
          <w:bCs/>
          <w:spacing w:val="-5"/>
          <w:sz w:val="33"/>
          <w:szCs w:val="33"/>
        </w:rPr>
        <w:t>第八条提供父母养老服务</w:t>
      </w:r>
      <w:r>
        <w:rPr>
          <w:rFonts w:ascii="仿宋" w:hAnsi="仿宋" w:eastAsia="仿宋" w:cs="仿宋"/>
          <w:b/>
          <w:bCs/>
          <w:spacing w:val="-5"/>
          <w:sz w:val="33"/>
          <w:szCs w:val="33"/>
        </w:rPr>
        <w:t>。</w:t>
      </w:r>
      <w:r>
        <w:rPr>
          <w:rFonts w:ascii="仿宋" w:hAnsi="仿宋" w:eastAsia="仿宋" w:cs="仿宋"/>
          <w:spacing w:val="-5"/>
          <w:sz w:val="33"/>
          <w:szCs w:val="33"/>
        </w:rPr>
        <w:t>对引进的高层次人才和</w:t>
      </w:r>
      <w:r>
        <w:rPr>
          <w:rFonts w:ascii="仿宋" w:hAnsi="仿宋" w:eastAsia="仿宋" w:cs="仿宋"/>
          <w:spacing w:val="-6"/>
          <w:sz w:val="33"/>
          <w:szCs w:val="33"/>
        </w:rPr>
        <w:t>A、B、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-6"/>
          <w:sz w:val="33"/>
          <w:szCs w:val="33"/>
        </w:rPr>
        <w:t>C、D</w:t>
      </w:r>
      <w:r>
        <w:rPr>
          <w:rFonts w:ascii="宋体" w:hAnsi="宋体" w:eastAsia="宋体" w:cs="宋体"/>
          <w:spacing w:val="-8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6"/>
          <w:sz w:val="33"/>
          <w:szCs w:val="33"/>
        </w:rPr>
        <w:t>类人才父母从市域外来潭养老，每年发放5000元来潭居家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2"/>
          <w:sz w:val="33"/>
          <w:szCs w:val="33"/>
        </w:rPr>
        <w:t>养老消费券。实施时间两年。</w:t>
      </w:r>
    </w:p>
    <w:p w14:paraId="54023AE9">
      <w:pPr>
        <w:spacing w:before="31" w:line="322" w:lineRule="auto"/>
        <w:ind w:right="109" w:firstLine="654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3"/>
          <w:szCs w:val="33"/>
        </w:rPr>
        <w:t>第九条保障子女入学。</w:t>
      </w:r>
      <w:r>
        <w:rPr>
          <w:rFonts w:ascii="仿宋" w:hAnsi="仿宋" w:eastAsia="仿宋" w:cs="仿宋"/>
          <w:spacing w:val="-6"/>
          <w:sz w:val="33"/>
          <w:szCs w:val="33"/>
        </w:rPr>
        <w:t>对</w:t>
      </w:r>
      <w:r>
        <w:rPr>
          <w:rFonts w:ascii="仿宋" w:hAnsi="仿宋" w:eastAsia="仿宋" w:cs="仿宋"/>
          <w:spacing w:val="-6"/>
          <w:sz w:val="33"/>
          <w:szCs w:val="33"/>
        </w:rPr>
        <w:t xml:space="preserve"> A、B 类人才直系亲属就读幼儿 园、义务教育阶段学校和普通高中学校，根据人才意愿优先安排。</w:t>
      </w:r>
      <w:r>
        <w:rPr>
          <w:rFonts w:ascii="仿宋" w:hAnsi="仿宋" w:eastAsia="仿宋" w:cs="仿宋"/>
          <w:spacing w:val="-4"/>
          <w:sz w:val="32"/>
          <w:szCs w:val="32"/>
        </w:rPr>
        <w:t>对引进的学科领军人才和</w:t>
      </w:r>
      <w:r>
        <w:rPr>
          <w:rFonts w:ascii="Times New Roman" w:hAnsi="Times New Roman" w:eastAsia="Times New Roman" w:cs="Times New Roman"/>
          <w:spacing w:val="-4"/>
          <w:sz w:val="32"/>
          <w:szCs w:val="32"/>
        </w:rPr>
        <w:t>C</w:t>
      </w:r>
      <w:r>
        <w:rPr>
          <w:rFonts w:ascii="仿宋" w:hAnsi="仿宋" w:eastAsia="仿宋" w:cs="仿宋"/>
          <w:spacing w:val="-4"/>
          <w:sz w:val="32"/>
          <w:szCs w:val="32"/>
        </w:rPr>
        <w:t>类人才子女就读幼儿园、义务教育阶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段学校，根据人才意愿优先安排。</w:t>
      </w:r>
      <w:r>
        <w:rPr>
          <w:rFonts w:ascii="宋体" w:hAnsi="宋体" w:eastAsia="宋体" w:cs="宋体"/>
          <w:spacing w:val="-6"/>
          <w:sz w:val="32"/>
          <w:szCs w:val="32"/>
        </w:rPr>
        <w:t>D</w:t>
      </w:r>
      <w:r>
        <w:rPr>
          <w:rFonts w:ascii="宋体" w:hAnsi="宋体" w:eastAsia="宋体" w:cs="宋体"/>
          <w:spacing w:val="-4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类人才子女就读</w:t>
      </w:r>
      <w:r>
        <w:rPr>
          <w:rFonts w:ascii="仿宋" w:hAnsi="仿宋" w:eastAsia="仿宋" w:cs="仿宋"/>
          <w:spacing w:val="-7"/>
          <w:sz w:val="32"/>
          <w:szCs w:val="32"/>
        </w:rPr>
        <w:t>幼儿园、义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务教育阶段学校，根据人才意愿和实际情况，由户口或居住所在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地教育行政部门就近统筹安排。</w:t>
      </w:r>
    </w:p>
    <w:p w14:paraId="3DDF0685">
      <w:pPr>
        <w:spacing w:before="59" w:line="340" w:lineRule="auto"/>
        <w:ind w:right="14" w:firstLine="64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"/>
          <w:sz w:val="32"/>
          <w:szCs w:val="32"/>
        </w:rPr>
        <w:t>第十条鼓励科研创新。</w:t>
      </w:r>
      <w:r>
        <w:rPr>
          <w:rFonts w:ascii="黑体" w:hAnsi="黑体" w:eastAsia="黑体" w:cs="黑体"/>
          <w:spacing w:val="-3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鼓励开展科研创新，及时解决</w:t>
      </w:r>
      <w:r>
        <w:rPr>
          <w:rFonts w:ascii="仿宋" w:hAnsi="仿宋" w:eastAsia="仿宋" w:cs="仿宋"/>
          <w:spacing w:val="-3"/>
          <w:sz w:val="32"/>
          <w:szCs w:val="32"/>
        </w:rPr>
        <w:t>科研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所需的实验设备及办公设施。对申报国、省级科研项</w:t>
      </w:r>
      <w:r>
        <w:rPr>
          <w:rFonts w:ascii="仿宋" w:hAnsi="仿宋" w:eastAsia="仿宋" w:cs="仿宋"/>
          <w:spacing w:val="-8"/>
          <w:sz w:val="32"/>
          <w:szCs w:val="32"/>
        </w:rPr>
        <w:t>目并按期结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题的，分别给予10万元、5万元科研项目奖励。获得科研项目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奖励后最低服务年限为5年。</w:t>
      </w:r>
    </w:p>
    <w:p w14:paraId="73A1AE7C">
      <w:pPr>
        <w:spacing w:before="59" w:line="339" w:lineRule="auto"/>
        <w:ind w:right="29" w:firstLine="644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第十一条支持申报人才工程项目。</w:t>
      </w:r>
      <w:r>
        <w:rPr>
          <w:rFonts w:ascii="仿宋" w:hAnsi="仿宋" w:eastAsia="仿宋" w:cs="仿宋"/>
          <w:sz w:val="32"/>
          <w:szCs w:val="32"/>
        </w:rPr>
        <w:t>对通过人才工程申报，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入选国家级人才工程项目的，给予10万元奖励；入选省级人才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工程项目的，给予5万元奖励。获得人才工程项目奖励后最低服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1"/>
          <w:sz w:val="32"/>
          <w:szCs w:val="32"/>
        </w:rPr>
        <w:t>务年限为5年。</w:t>
      </w:r>
    </w:p>
    <w:p w14:paraId="1B3D8B23">
      <w:pPr>
        <w:spacing w:before="68" w:line="345" w:lineRule="auto"/>
        <w:ind w:right="2" w:firstLine="64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pacing w:val="3"/>
          <w:sz w:val="32"/>
          <w:szCs w:val="32"/>
        </w:rPr>
        <w:t>第十二条鼓励学历提升。</w:t>
      </w:r>
      <w:r>
        <w:rPr>
          <w:rFonts w:ascii="仿宋" w:hAnsi="仿宋" w:eastAsia="仿宋" w:cs="仿宋"/>
          <w:spacing w:val="3"/>
          <w:sz w:val="32"/>
          <w:szCs w:val="32"/>
        </w:rPr>
        <w:t>对工作期满出站并取得博士后证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书的，给予10万元奖励；对在职攻读并取得国家认可的博士学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位的，给予5万元奖励。获得学历提升奖励后最低服务年限为5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"/>
          <w:sz w:val="32"/>
          <w:szCs w:val="32"/>
        </w:rPr>
        <w:t>年。</w:t>
      </w:r>
    </w:p>
    <w:p w14:paraId="672D2E1E">
      <w:pPr>
        <w:spacing w:before="43" w:line="338" w:lineRule="auto"/>
        <w:ind w:right="2" w:firstLine="64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黑体" w:hAnsi="黑体" w:eastAsia="黑体" w:cs="黑体"/>
          <w:b/>
          <w:bCs/>
          <w:spacing w:val="-4"/>
          <w:sz w:val="32"/>
          <w:szCs w:val="32"/>
        </w:rPr>
        <w:t>第十三条实施医卫名家培育工程。</w:t>
      </w:r>
      <w:r>
        <w:rPr>
          <w:rFonts w:ascii="黑体" w:hAnsi="黑体" w:eastAsia="黑体" w:cs="黑体"/>
          <w:spacing w:val="-2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选拔医卫名家培育对象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50名，在培育期内实行动态管理。根据考核结果，每年分别给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予医卫高层次人才培育对象、医卫骨干人才培育对象培育经费5 万元/人、3万元/人。</w:t>
      </w:r>
    </w:p>
    <w:p w14:paraId="297EE8DE">
      <w:pPr>
        <w:spacing w:before="48" w:line="315" w:lineRule="auto"/>
        <w:ind w:firstLine="644"/>
        <w:rPr>
          <w:rFonts w:ascii="仿宋" w:hAnsi="仿宋" w:eastAsia="仿宋" w:cs="仿宋"/>
          <w:spacing w:val="-1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"/>
          <w:sz w:val="32"/>
          <w:szCs w:val="32"/>
        </w:rPr>
        <w:t>第十四条大力推进人才进修培训。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根据人才专业方向以及 医院临床需求、人才梯队建设等情况，制定清晰、具体的人才进修培训计划，切实加大赴国内外知名医疗机构、科研院所进修培 训力度，并给予培训经费支持。</w:t>
      </w:r>
    </w:p>
    <w:p w14:paraId="22D0CA84">
      <w:pPr>
        <w:spacing w:before="42" w:line="329" w:lineRule="auto"/>
        <w:ind w:right="151" w:firstLine="63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8"/>
          <w:sz w:val="33"/>
          <w:szCs w:val="33"/>
        </w:rPr>
        <w:t>第十五条着力建设重点学科(专科</w:t>
      </w:r>
      <w:r>
        <w:rPr>
          <w:rFonts w:ascii="仿宋" w:hAnsi="仿宋" w:eastAsia="仿宋" w:cs="仿宋"/>
          <w:spacing w:val="8"/>
          <w:sz w:val="33"/>
          <w:szCs w:val="33"/>
        </w:rPr>
        <w:t>)。以国、省、市级临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2"/>
          <w:sz w:val="33"/>
          <w:szCs w:val="33"/>
        </w:rPr>
        <w:t>床重点学科(专科)建设为平台，在选派骨干人才开展院际合作、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科学研究、学术交流、进修培训等方面优先给予支持，不断提升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5"/>
          <w:sz w:val="33"/>
          <w:szCs w:val="33"/>
        </w:rPr>
        <w:t>人才专业技术能力，充分发挥临床重点学科(专科</w:t>
      </w:r>
      <w:r>
        <w:rPr>
          <w:rFonts w:ascii="仿宋" w:hAnsi="仿宋" w:eastAsia="仿宋" w:cs="仿宋"/>
          <w:spacing w:val="-6"/>
          <w:sz w:val="33"/>
          <w:szCs w:val="33"/>
        </w:rPr>
        <w:t>)建设在人才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队伍建设中的平台作用，做到人尽其才，才尽其用。</w:t>
      </w:r>
    </w:p>
    <w:p w14:paraId="1B511CD8">
      <w:pPr>
        <w:spacing w:before="86" w:line="336" w:lineRule="auto"/>
        <w:ind w:firstLine="63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4"/>
          <w:sz w:val="33"/>
          <w:szCs w:val="33"/>
        </w:rPr>
        <w:t>第十六条强化人才多岗位锻炼。</w:t>
      </w:r>
      <w:r>
        <w:rPr>
          <w:rFonts w:ascii="仿宋" w:hAnsi="仿宋" w:eastAsia="仿宋" w:cs="仿宋"/>
          <w:spacing w:val="-4"/>
          <w:sz w:val="33"/>
          <w:szCs w:val="33"/>
        </w:rPr>
        <w:t>根据人才职业发展目标和</w:t>
      </w:r>
      <w:r>
        <w:rPr>
          <w:rFonts w:ascii="仿宋" w:hAnsi="仿宋" w:eastAsia="仿宋" w:cs="仿宋"/>
          <w:spacing w:val="7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6"/>
          <w:sz w:val="33"/>
          <w:szCs w:val="33"/>
        </w:rPr>
        <w:t>个人意愿，支持进行多岗位锻炼。对符合条件的，可优先选拔交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7"/>
          <w:sz w:val="33"/>
          <w:szCs w:val="33"/>
        </w:rPr>
        <w:t>流到党政管理部门任职，选派到基层医疗机构担任“第一书记”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或推荐为市、区级人大代表、政协委员候选人选，着力培</w:t>
      </w:r>
      <w:r>
        <w:rPr>
          <w:rFonts w:ascii="仿宋" w:hAnsi="仿宋" w:eastAsia="仿宋" w:cs="仿宋"/>
          <w:spacing w:val="-18"/>
          <w:sz w:val="33"/>
          <w:szCs w:val="33"/>
        </w:rPr>
        <w:t>养“医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0"/>
          <w:sz w:val="33"/>
          <w:szCs w:val="33"/>
        </w:rPr>
        <w:t>疗+管理”复合型优秀人才。</w:t>
      </w:r>
    </w:p>
    <w:p w14:paraId="77C6368A">
      <w:pPr>
        <w:spacing w:before="15" w:line="332" w:lineRule="auto"/>
        <w:ind w:right="111" w:firstLine="63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11"/>
          <w:sz w:val="33"/>
          <w:szCs w:val="33"/>
        </w:rPr>
        <w:t>第十七条优化人才任用机制</w:t>
      </w:r>
      <w:r>
        <w:rPr>
          <w:rFonts w:ascii="仿宋" w:hAnsi="仿宋" w:eastAsia="仿宋" w:cs="仿宋"/>
          <w:spacing w:val="-11"/>
          <w:sz w:val="33"/>
          <w:szCs w:val="33"/>
        </w:rPr>
        <w:t>。注重在临床一线考察、识别、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评价、使用人才，着力构建“能上能下”的人才任用机制。建立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优秀人才库，对临床业务能力突出、综合表现优秀且具有一定管</w:t>
      </w:r>
      <w:r>
        <w:rPr>
          <w:rFonts w:ascii="仿宋" w:hAnsi="仿宋" w:eastAsia="仿宋" w:cs="仿宋"/>
          <w:spacing w:val="1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理经验的骨干人才予以重点关注和培养，条件成熟的优先提拔为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8"/>
          <w:sz w:val="33"/>
          <w:szCs w:val="33"/>
        </w:rPr>
        <w:t>医院科室负责人或领导班子成员。畅通干部“下”的渠道，及时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6"/>
          <w:sz w:val="33"/>
          <w:szCs w:val="33"/>
        </w:rPr>
        <w:t>调整存在不胜任岗位要求、工作作风不实、推进科室发展动力不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足等问题的科室负责人，做优做强领导干部队伍建设。</w:t>
      </w:r>
    </w:p>
    <w:p w14:paraId="6A3474E7">
      <w:pPr>
        <w:spacing w:before="71" w:line="331" w:lineRule="auto"/>
        <w:ind w:right="151" w:firstLine="63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4"/>
          <w:sz w:val="33"/>
          <w:szCs w:val="33"/>
        </w:rPr>
        <w:t>第十八条建立高层次人才共享共用机制</w:t>
      </w:r>
      <w:r>
        <w:rPr>
          <w:rFonts w:ascii="仿宋" w:hAnsi="仿宋" w:eastAsia="仿宋" w:cs="仿宋"/>
          <w:spacing w:val="-4"/>
          <w:sz w:val="33"/>
          <w:szCs w:val="33"/>
        </w:rPr>
        <w:t>。对引进的高层次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6"/>
          <w:sz w:val="33"/>
          <w:szCs w:val="33"/>
        </w:rPr>
        <w:t>人才和</w:t>
      </w:r>
      <w:r>
        <w:rPr>
          <w:rFonts w:ascii="宋体" w:hAnsi="宋体" w:eastAsia="宋体" w:cs="宋体"/>
          <w:spacing w:val="-6"/>
          <w:sz w:val="33"/>
          <w:szCs w:val="33"/>
        </w:rPr>
        <w:t>A、B、C、D、E</w:t>
      </w:r>
      <w:r>
        <w:rPr>
          <w:rFonts w:ascii="仿宋" w:hAnsi="仿宋" w:eastAsia="仿宋" w:cs="仿宋"/>
          <w:spacing w:val="-6"/>
          <w:sz w:val="33"/>
          <w:szCs w:val="33"/>
        </w:rPr>
        <w:t>类人才，可在医疗集团内统筹管理使用。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结合医疗集团内医院学科发展、临床需求以及人才队伍建设等情</w:t>
      </w:r>
    </w:p>
    <w:p w14:paraId="110806C7">
      <w:pPr>
        <w:spacing w:line="331" w:lineRule="auto"/>
        <w:rPr>
          <w:rFonts w:ascii="仿宋" w:hAnsi="仿宋" w:eastAsia="仿宋" w:cs="仿宋"/>
          <w:sz w:val="33"/>
          <w:szCs w:val="33"/>
        </w:rPr>
        <w:sectPr>
          <w:footerReference r:id="rId6" w:type="default"/>
          <w:pgSz w:w="11900" w:h="16840"/>
          <w:pgMar w:top="1431" w:right="1293" w:bottom="1505" w:left="1559" w:header="0" w:footer="1212" w:gutter="0"/>
          <w:cols w:space="720" w:num="1"/>
        </w:sectPr>
      </w:pPr>
    </w:p>
    <w:p w14:paraId="05514E93">
      <w:pPr>
        <w:pStyle w:val="2"/>
        <w:spacing w:line="337" w:lineRule="auto"/>
      </w:pPr>
    </w:p>
    <w:p w14:paraId="5A21CAF4">
      <w:pPr>
        <w:spacing w:before="107" w:line="324" w:lineRule="auto"/>
        <w:ind w:left="399" w:right="369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7"/>
          <w:sz w:val="33"/>
          <w:szCs w:val="33"/>
        </w:rPr>
        <w:t>况，通过交流聘任、定期坐诊、疑难病症会诊、学术</w:t>
      </w:r>
      <w:r>
        <w:rPr>
          <w:rFonts w:ascii="仿宋" w:hAnsi="仿宋" w:eastAsia="仿宋" w:cs="仿宋"/>
          <w:spacing w:val="-18"/>
          <w:sz w:val="33"/>
          <w:szCs w:val="33"/>
        </w:rPr>
        <w:t>交流、带教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带培等形式实现在医疗、科研、教学等领域的共享共用。</w:t>
      </w:r>
    </w:p>
    <w:p w14:paraId="7B41AF96">
      <w:pPr>
        <w:spacing w:before="58" w:line="329" w:lineRule="auto"/>
        <w:ind w:left="399" w:right="335" w:firstLine="61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5"/>
          <w:sz w:val="33"/>
          <w:szCs w:val="33"/>
        </w:rPr>
        <w:t>第十九条深化薪酬制度改革</w:t>
      </w:r>
      <w:r>
        <w:rPr>
          <w:rFonts w:ascii="仿宋" w:hAnsi="仿宋" w:eastAsia="仿宋" w:cs="仿宋"/>
          <w:spacing w:val="-5"/>
          <w:sz w:val="33"/>
          <w:szCs w:val="33"/>
        </w:rPr>
        <w:t>。深入推进市直公立医院工分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制绩效分配机制，薪酬分配重点向关键和急需</w:t>
      </w:r>
      <w:r>
        <w:rPr>
          <w:rFonts w:ascii="仿宋" w:hAnsi="仿宋" w:eastAsia="仿宋" w:cs="仿宋"/>
          <w:spacing w:val="-17"/>
          <w:sz w:val="33"/>
          <w:szCs w:val="33"/>
        </w:rPr>
        <w:t>紧缺岗位人才、高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层次人才、业务骨干人才等进行倾斜。设立体现人才劳动特点和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岗位价值的贡献绩效、质量绩效、服务绩效等薪酬项目，更好地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激励人才立足岗位建功立业。</w:t>
      </w:r>
    </w:p>
    <w:p w14:paraId="2CFB8FF6">
      <w:pPr>
        <w:spacing w:before="97" w:line="328" w:lineRule="auto"/>
        <w:ind w:left="399" w:right="224" w:firstLine="61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12"/>
          <w:sz w:val="33"/>
          <w:szCs w:val="33"/>
        </w:rPr>
        <w:t>第二十条营造良好氛围</w:t>
      </w:r>
      <w:r>
        <w:rPr>
          <w:rFonts w:ascii="仿宋" w:hAnsi="仿宋" w:eastAsia="仿宋" w:cs="仿宋"/>
          <w:spacing w:val="-12"/>
          <w:sz w:val="33"/>
          <w:szCs w:val="33"/>
        </w:rPr>
        <w:t>。加大对优秀人才选树和宣传力度，</w:t>
      </w:r>
      <w:r>
        <w:rPr>
          <w:rFonts w:ascii="仿宋" w:hAnsi="仿宋" w:eastAsia="仿宋" w:cs="仿宋"/>
          <w:spacing w:val="16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通过医院官网、公众号等媒介，开设人才宣传专栏，大力宣传临</w:t>
      </w:r>
      <w:r>
        <w:rPr>
          <w:rFonts w:ascii="仿宋" w:hAnsi="仿宋" w:eastAsia="仿宋" w:cs="仿宋"/>
          <w:spacing w:val="18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床一线优秀人才，积极展示人才成果，营造尊重知识、尊重人才</w:t>
      </w:r>
      <w:r>
        <w:rPr>
          <w:rFonts w:ascii="仿宋" w:hAnsi="仿宋" w:eastAsia="仿宋" w:cs="仿宋"/>
          <w:spacing w:val="1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的良好氛围，进一步增强人才荣誉感和归属感。</w:t>
      </w:r>
    </w:p>
    <w:p w14:paraId="542C3DD2">
      <w:pPr>
        <w:spacing w:before="65" w:line="323" w:lineRule="auto"/>
        <w:ind w:left="399" w:right="330" w:firstLine="619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黑体" w:hAnsi="黑体" w:eastAsia="黑体" w:cs="黑体"/>
          <w:spacing w:val="-16"/>
          <w:sz w:val="33"/>
          <w:szCs w:val="33"/>
        </w:rPr>
        <w:t>第二十一条加强人才资金保障</w:t>
      </w:r>
      <w:r>
        <w:rPr>
          <w:rFonts w:ascii="仿宋" w:hAnsi="仿宋" w:eastAsia="仿宋" w:cs="仿宋"/>
          <w:spacing w:val="-16"/>
          <w:sz w:val="33"/>
          <w:szCs w:val="33"/>
        </w:rPr>
        <w:t>。建立市直公立医院人才“引</w:t>
      </w:r>
      <w:r>
        <w:rPr>
          <w:rFonts w:ascii="仿宋" w:hAnsi="仿宋" w:eastAsia="仿宋" w:cs="仿宋"/>
          <w:spacing w:val="14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7"/>
          <w:sz w:val="33"/>
          <w:szCs w:val="33"/>
        </w:rPr>
        <w:t>育用留”资金池，由财政资金、市直公立医院人才发</w:t>
      </w:r>
      <w:r>
        <w:rPr>
          <w:rFonts w:ascii="仿宋" w:hAnsi="仿宋" w:eastAsia="仿宋" w:cs="仿宋"/>
          <w:spacing w:val="-18"/>
          <w:sz w:val="33"/>
          <w:szCs w:val="33"/>
        </w:rPr>
        <w:t>展基金等共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同注入。本措施所需资金在资金池中统筹安排。</w:t>
      </w:r>
    </w:p>
    <w:p w14:paraId="7C0FC756">
      <w:pPr>
        <w:spacing w:before="65" w:line="323" w:lineRule="auto"/>
        <w:ind w:left="399" w:right="330" w:firstLine="619"/>
        <w:jc w:val="both"/>
        <w:rPr>
          <w:rFonts w:ascii="黑体" w:hAnsi="黑体" w:eastAsia="黑体" w:cs="黑体"/>
          <w:spacing w:val="-16"/>
          <w:sz w:val="33"/>
          <w:szCs w:val="33"/>
        </w:rPr>
      </w:pPr>
      <w:r>
        <w:rPr>
          <w:rFonts w:ascii="黑体" w:hAnsi="黑体" w:eastAsia="黑体" w:cs="黑体"/>
          <w:spacing w:val="-16"/>
          <w:sz w:val="33"/>
          <w:szCs w:val="33"/>
        </w:rPr>
        <w:t>第二十二条本措施自公布之日起施行，有效期两年。</w:t>
      </w:r>
    </w:p>
    <w:p w14:paraId="3421119C">
      <w:pPr>
        <w:spacing w:before="2"/>
      </w:pPr>
    </w:p>
    <w:p w14:paraId="52C79351">
      <w:pPr>
        <w:spacing w:before="2"/>
      </w:pPr>
    </w:p>
    <w:p w14:paraId="34E43F9F">
      <w:pPr>
        <w:spacing w:before="2"/>
      </w:pPr>
    </w:p>
    <w:p w14:paraId="179BBDC9">
      <w:pPr>
        <w:spacing w:before="2"/>
      </w:pPr>
    </w:p>
    <w:p w14:paraId="0C397C32">
      <w:pPr>
        <w:spacing w:before="2"/>
      </w:pPr>
    </w:p>
    <w:p w14:paraId="133941AE">
      <w:pPr>
        <w:spacing w:before="2"/>
      </w:pPr>
    </w:p>
    <w:p w14:paraId="2DDDCDBF">
      <w:pPr>
        <w:spacing w:before="2"/>
      </w:pPr>
    </w:p>
    <w:p w14:paraId="4E7A4B99">
      <w:pPr>
        <w:spacing w:before="2"/>
      </w:pPr>
    </w:p>
    <w:p w14:paraId="2600E97C">
      <w:pPr>
        <w:spacing w:before="2"/>
      </w:pPr>
      <w:bookmarkStart w:id="0" w:name="_GoBack"/>
      <w:bookmarkEnd w:id="0"/>
    </w:p>
    <w:p w14:paraId="12442865">
      <w:pPr>
        <w:spacing w:before="2"/>
      </w:pPr>
    </w:p>
    <w:p w14:paraId="65B98B58">
      <w:pPr>
        <w:spacing w:before="2"/>
      </w:pPr>
    </w:p>
    <w:p w14:paraId="26119C64">
      <w:pPr>
        <w:spacing w:before="2"/>
      </w:pPr>
    </w:p>
    <w:p w14:paraId="2A97F946">
      <w:pPr>
        <w:spacing w:before="2"/>
      </w:pPr>
    </w:p>
    <w:p w14:paraId="47EB78BE">
      <w:pPr>
        <w:spacing w:before="2"/>
      </w:pPr>
    </w:p>
    <w:tbl>
      <w:tblPr>
        <w:tblStyle w:val="5"/>
        <w:tblW w:w="952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89"/>
        <w:gridCol w:w="3740"/>
      </w:tblGrid>
      <w:tr w14:paraId="55F06B6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789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176B48E0">
            <w:pPr>
              <w:spacing w:before="65" w:line="323" w:lineRule="auto"/>
              <w:ind w:right="330" w:firstLine="246" w:firstLineChars="100"/>
              <w:jc w:val="both"/>
              <w:rPr>
                <w:rFonts w:ascii="仿宋" w:hAnsi="仿宋" w:eastAsia="仿宋" w:cs="仿宋"/>
                <w:spacing w:val="-17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中共湘潭市委人才工作领导小组办公室</w:t>
            </w:r>
          </w:p>
        </w:tc>
        <w:tc>
          <w:tcPr>
            <w:tcW w:w="374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22C981C9">
            <w:pPr>
              <w:spacing w:before="65" w:line="323" w:lineRule="auto"/>
              <w:ind w:left="399" w:right="330" w:firstLine="619"/>
              <w:jc w:val="both"/>
              <w:rPr>
                <w:rFonts w:ascii="仿宋" w:hAnsi="仿宋" w:eastAsia="仿宋" w:cs="仿宋"/>
                <w:spacing w:val="-17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2024年7月4日印发</w:t>
            </w:r>
          </w:p>
        </w:tc>
      </w:tr>
    </w:tbl>
    <w:p w14:paraId="64D88F56">
      <w:pPr>
        <w:pStyle w:val="2"/>
      </w:pPr>
    </w:p>
    <w:sectPr>
      <w:footerReference r:id="rId7" w:type="default"/>
      <w:pgSz w:w="11900" w:h="16840"/>
      <w:pgMar w:top="1431" w:right="1239" w:bottom="1511" w:left="1130" w:header="0" w:footer="118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32E6D">
    <w:pPr>
      <w:tabs>
        <w:tab w:val="left" w:pos="639"/>
      </w:tabs>
      <w:spacing w:before="1" w:line="181" w:lineRule="auto"/>
      <w:ind w:left="329"/>
      <w:rPr>
        <w:rFonts w:ascii="Times New Roman" w:hAnsi="Times New Roman" w:eastAsia="Times New Roman" w:cs="Times New Roman"/>
        <w:sz w:val="32"/>
        <w:szCs w:val="32"/>
      </w:rPr>
    </w:pPr>
    <w:r>
      <w:rPr>
        <w:rFonts w:ascii="Times New Roman" w:hAnsi="Times New Roman" w:eastAsia="Times New Roman" w:cs="Times New Roman"/>
        <w:sz w:val="32"/>
        <w:szCs w:val="32"/>
        <w:u w:val="single" w:color="auto"/>
      </w:rPr>
      <w:tab/>
    </w:r>
    <w:r>
      <w:rPr>
        <w:rFonts w:ascii="Times New Roman" w:hAnsi="Times New Roman" w:eastAsia="Times New Roman" w:cs="Times New Roman"/>
        <w:spacing w:val="-19"/>
        <w:sz w:val="32"/>
        <w:szCs w:val="32"/>
      </w:rPr>
      <w:t xml:space="preserve"> </w:t>
    </w:r>
    <w:r>
      <w:rPr>
        <w:rFonts w:ascii="Times New Roman" w:hAnsi="Times New Roman" w:eastAsia="Times New Roman" w:cs="Times New Roman"/>
        <w:spacing w:val="-4"/>
        <w:sz w:val="32"/>
        <w:szCs w:val="32"/>
      </w:rPr>
      <w:t>2-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9BE419">
    <w:pPr>
      <w:tabs>
        <w:tab w:val="left" w:pos="7830"/>
      </w:tabs>
      <w:spacing w:before="1" w:line="178" w:lineRule="auto"/>
      <w:ind w:left="7509"/>
      <w:rPr>
        <w:rFonts w:ascii="Times New Roman" w:hAnsi="Times New Roman" w:eastAsia="Times New Roman" w:cs="Times New Roman"/>
        <w:sz w:val="33"/>
        <w:szCs w:val="33"/>
      </w:rPr>
    </w:pPr>
    <w:r>
      <w:rPr>
        <w:rFonts w:ascii="Times New Roman" w:hAnsi="Times New Roman" w:eastAsia="Times New Roman" w:cs="Times New Roman"/>
        <w:sz w:val="33"/>
        <w:szCs w:val="33"/>
        <w:u w:val="single" w:color="auto"/>
      </w:rPr>
      <w:tab/>
    </w:r>
    <w:r>
      <w:rPr>
        <w:rFonts w:ascii="Times New Roman" w:hAnsi="Times New Roman" w:eastAsia="Times New Roman" w:cs="Times New Roman"/>
        <w:spacing w:val="27"/>
        <w:sz w:val="33"/>
        <w:szCs w:val="33"/>
      </w:rPr>
      <w:t xml:space="preserve"> </w:t>
    </w:r>
    <w:r>
      <w:rPr>
        <w:rFonts w:ascii="Times New Roman" w:hAnsi="Times New Roman" w:eastAsia="Times New Roman" w:cs="Times New Roman"/>
        <w:spacing w:val="-8"/>
        <w:sz w:val="33"/>
        <w:szCs w:val="33"/>
      </w:rPr>
      <w:t>5-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AF037">
    <w:pPr>
      <w:spacing w:line="177" w:lineRule="auto"/>
      <w:ind w:left="689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4"/>
        <w:sz w:val="33"/>
        <w:szCs w:val="33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MxYTk0M2Q0YjI3YTNhNGFhYjM5MmZmOGY4MDkxMjUifQ=="/>
  </w:docVars>
  <w:rsids>
    <w:rsidRoot w:val="00000000"/>
    <w:rsid w:val="423802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2682</Words>
  <Characters>2709</Characters>
  <TotalTime>4</TotalTime>
  <ScaleCrop>false</ScaleCrop>
  <LinksUpToDate>false</LinksUpToDate>
  <CharactersWithSpaces>2796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2024-07-19T12:01:00Z</dcterms:created>
  <dc:creator>Kingsoft-PDF</dc:creator>
  <cp:lastModifiedBy>薄荷</cp:lastModifiedBy>
  <dcterms:modified xsi:type="dcterms:W3CDTF">2024-07-19T04:05:11Z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2024-07-19T12:01:02Z</vt:filetime>
  </property>
  <property fmtid="{D5CDD505-2E9C-101B-9397-08002B2CF9AE}" pid="4" name="UsrData">
    <vt:lpwstr>6699e4fbd6fac900204325a6wl</vt:lpwstr>
  </property>
  <property fmtid="{D5CDD505-2E9C-101B-9397-08002B2CF9AE}" pid="5" name="KSOProductBuildVer">
    <vt:lpwstr>2052-12.1.0.17147</vt:lpwstr>
  </property>
  <property fmtid="{D5CDD505-2E9C-101B-9397-08002B2CF9AE}" pid="6" name="ICV">
    <vt:lpwstr>8C5990660B714F5C809518300E7A6975_12</vt:lpwstr>
  </property>
</Properties>
</file>