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pacing w:line="520" w:lineRule="exact"/>
        <w:rPr>
          <w:rFonts w:hint="default"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附件1</w:t>
      </w:r>
    </w:p>
    <w:p>
      <w:pPr>
        <w:keepNext w:val="0"/>
        <w:keepLines w:val="0"/>
        <w:pageBreakBefore w:val="0"/>
        <w:kinsoku/>
        <w:wordWrap/>
        <w:overflowPunct/>
        <w:topLinePunct w:val="0"/>
        <w:bidi w:val="0"/>
        <w:adjustRightInd/>
        <w:snapToGrid/>
        <w:spacing w:line="520" w:lineRule="exact"/>
        <w:jc w:val="center"/>
        <w:rPr>
          <w:rFonts w:hint="eastAsia" w:ascii="方正小标宋简体" w:hAnsi="方正小标宋简体" w:eastAsia="方正小标宋简体" w:cs="方正小标宋简体"/>
          <w:bCs/>
          <w:spacing w:val="-20"/>
          <w:sz w:val="44"/>
          <w:szCs w:val="44"/>
          <w:highlight w:val="none"/>
          <w:lang w:eastAsia="zh-CN"/>
        </w:rPr>
      </w:pPr>
      <w:r>
        <w:rPr>
          <w:rFonts w:hint="eastAsia" w:ascii="方正小标宋简体" w:hAnsi="方正小标宋简体" w:eastAsia="方正小标宋简体" w:cs="方正小标宋简体"/>
          <w:bCs/>
          <w:spacing w:val="-20"/>
          <w:sz w:val="44"/>
          <w:szCs w:val="44"/>
          <w:highlight w:val="none"/>
          <w:lang w:eastAsia="zh-CN"/>
        </w:rPr>
        <w:t>202</w:t>
      </w:r>
      <w:r>
        <w:rPr>
          <w:rFonts w:hint="eastAsia" w:ascii="方正小标宋简体" w:hAnsi="方正小标宋简体" w:eastAsia="方正小标宋简体" w:cs="方正小标宋简体"/>
          <w:bCs/>
          <w:spacing w:val="-20"/>
          <w:sz w:val="44"/>
          <w:szCs w:val="44"/>
          <w:highlight w:val="none"/>
          <w:lang w:val="en-US" w:eastAsia="zh-CN"/>
        </w:rPr>
        <w:t>4</w:t>
      </w:r>
      <w:r>
        <w:rPr>
          <w:rFonts w:hint="eastAsia" w:ascii="方正小标宋简体" w:hAnsi="方正小标宋简体" w:eastAsia="方正小标宋简体" w:cs="方正小标宋简体"/>
          <w:bCs/>
          <w:spacing w:val="-20"/>
          <w:sz w:val="44"/>
          <w:szCs w:val="44"/>
          <w:highlight w:val="none"/>
          <w:lang w:eastAsia="zh-CN"/>
        </w:rPr>
        <w:t>年湘潭市中医医院、湘潭市第二人民医院</w:t>
      </w:r>
    </w:p>
    <w:p>
      <w:pPr>
        <w:keepNext w:val="0"/>
        <w:keepLines w:val="0"/>
        <w:pageBreakBefore w:val="0"/>
        <w:kinsoku/>
        <w:wordWrap/>
        <w:overflowPunct/>
        <w:topLinePunct w:val="0"/>
        <w:bidi w:val="0"/>
        <w:spacing w:line="520" w:lineRule="exact"/>
        <w:jc w:val="center"/>
        <w:rPr>
          <w:rFonts w:hint="eastAsia" w:ascii="方正小标宋简体" w:hAnsi="方正小标宋简体" w:eastAsia="方正小标宋简体" w:cs="方正小标宋简体"/>
          <w:bCs/>
          <w:spacing w:val="-20"/>
          <w:sz w:val="44"/>
          <w:szCs w:val="44"/>
          <w:highlight w:val="none"/>
          <w:lang w:eastAsia="zh-CN"/>
        </w:rPr>
      </w:pPr>
      <w:r>
        <w:rPr>
          <w:rFonts w:hint="eastAsia" w:ascii="方正小标宋简体" w:hAnsi="方正小标宋简体" w:eastAsia="方正小标宋简体" w:cs="方正小标宋简体"/>
          <w:bCs/>
          <w:spacing w:val="-20"/>
          <w:sz w:val="44"/>
          <w:szCs w:val="44"/>
          <w:highlight w:val="none"/>
          <w:lang w:eastAsia="zh-CN"/>
        </w:rPr>
        <w:t>公开招聘工作人员面试人员</w:t>
      </w:r>
      <w:r>
        <w:rPr>
          <w:rFonts w:hint="eastAsia" w:ascii="方正小标宋简体" w:hAnsi="方正小标宋简体" w:eastAsia="方正小标宋简体" w:cs="方正小标宋简体"/>
          <w:bCs/>
          <w:spacing w:val="-20"/>
          <w:sz w:val="44"/>
          <w:szCs w:val="44"/>
          <w:highlight w:val="none"/>
          <w:lang w:val="en-US" w:eastAsia="zh-CN"/>
        </w:rPr>
        <w:t>名单</w:t>
      </w:r>
    </w:p>
    <w:tbl>
      <w:tblPr>
        <w:tblStyle w:val="4"/>
        <w:tblW w:w="10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2"/>
        <w:gridCol w:w="1198"/>
        <w:gridCol w:w="690"/>
        <w:gridCol w:w="1470"/>
        <w:gridCol w:w="2520"/>
        <w:gridCol w:w="1125"/>
        <w:gridCol w:w="24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性别</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准考证号</w:t>
            </w:r>
          </w:p>
        </w:tc>
        <w:tc>
          <w:tcPr>
            <w:tcW w:w="2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报考岗位</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岗位代码</w:t>
            </w:r>
          </w:p>
        </w:tc>
        <w:tc>
          <w:tcPr>
            <w:tcW w:w="24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报考单位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陈树源</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1146082309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eastAsia="宋体"/>
                <w:color w:val="000000"/>
                <w:sz w:val="22"/>
                <w:lang w:eastAsia="zh-CN"/>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伍强</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1146082308</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刘丹</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1156082424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4</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郭纯</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1156082418</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5</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凌志强</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1156082417</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6</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李湘</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1166082427</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A17</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7</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胡伟佳</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1166082426</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A17</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8</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朱榕</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1166082429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A17</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9</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符宇钊</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1176081530</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10</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王慧</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1176081528</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11</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邓乐</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1176081531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ICU医师（二）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12</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刘思佳</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1186082612</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lang w:val="en-US" w:eastAsia="zh-CN"/>
              </w:rPr>
              <w:t>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A18</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13</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曾星</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1196081807</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医学影像科医师（一）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A19</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14</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黄玲俐</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1196081806</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医学影像科医师（一）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A19</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15</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蒋雄一郎</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2336082324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16</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胡仕力</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2336082331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17</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刘柱</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2336082325</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18</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王诗民</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2336082319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19</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刘泽中</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2336082411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20</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刘琴</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2336082321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21</w:t>
            </w:r>
          </w:p>
        </w:tc>
        <w:tc>
          <w:tcPr>
            <w:tcW w:w="11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刘雄</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2336082330</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22</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危建文</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2336082333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23</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周井</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2336082407</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24</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彭广</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2336082403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25</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吴健钮</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2336082318</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26</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蔡哲夫</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2336082328</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27</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周艳琳</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2336082323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骨伤科医师（二）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B33</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28</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刘雅璇</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2346082434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29</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李欣玥</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2346082533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30</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舒梅晨</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2346082501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31</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韩运宗</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2346082523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32</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危赛</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2346082435</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33</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周江敏</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2346082524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34</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孟虹宇</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2346082433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35</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刘莉婷</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2346082510</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36</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张孟哲</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2346082520</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内科医师（二）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B34</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37</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余婷</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2356084811</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38</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黄倩</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2356084814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39</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周鼎</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2356084824</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40</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曾仕圣</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2356084829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41</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曾觉铭</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男</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2356084807</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42</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高玉妍</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2356084826</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kern w:val="2"/>
                <w:sz w:val="21"/>
                <w:szCs w:val="24"/>
                <w:lang w:val="en-US" w:eastAsia="zh-CN" w:bidi="ar-SA"/>
              </w:rPr>
            </w:pPr>
            <w:r>
              <w:rPr>
                <w:rFonts w:hint="eastAsia"/>
              </w:rPr>
              <w:t>针灸推拿科医师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kern w:val="2"/>
                <w:sz w:val="22"/>
                <w:szCs w:val="24"/>
                <w:lang w:val="en-US" w:eastAsia="zh-CN" w:bidi="ar-SA"/>
              </w:rPr>
            </w:pPr>
            <w:r>
              <w:rPr>
                <w:rFonts w:hint="eastAsia" w:ascii="宋体" w:hAnsi="宋体"/>
                <w:color w:val="000000"/>
                <w:sz w:val="22"/>
              </w:rPr>
              <w:t>B35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eastAsia="zh-CN"/>
              </w:rPr>
              <w:t>湘潭市中医医院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43</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何莎</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2266084403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检验技师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B26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44</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宁婉君</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2266084226</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检验技师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B26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45</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王倩汝</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2266084116</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检验技师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B26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46</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刘依</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1066081509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临床医师(一)</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A06</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47</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曾旖旎</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2256081622</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临床医师（二）</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B25</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48</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朱方茜芮</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1086082015</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西药师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A08</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49</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胡荻</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1086081903</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西药师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A08</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42"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default" w:ascii="宋体" w:hAnsi="宋体"/>
                <w:color w:val="000000"/>
                <w:sz w:val="22"/>
                <w:lang w:val="en-US" w:eastAsia="zh-CN"/>
              </w:rPr>
            </w:pPr>
            <w:r>
              <w:rPr>
                <w:rFonts w:hint="eastAsia" w:ascii="宋体" w:hAnsi="宋体"/>
                <w:color w:val="000000"/>
                <w:sz w:val="22"/>
                <w:lang w:val="en-US" w:eastAsia="zh-CN"/>
              </w:rPr>
              <w:t>50</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孙佳敏</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女</w:t>
            </w:r>
          </w:p>
        </w:tc>
        <w:tc>
          <w:tcPr>
            <w:tcW w:w="1470" w:type="dxa"/>
            <w:tcBorders>
              <w:top w:val="single" w:color="000000" w:sz="4" w:space="0"/>
              <w:left w:val="single" w:color="000000" w:sz="4" w:space="0"/>
              <w:bottom w:val="single" w:color="000000" w:sz="4" w:space="0"/>
              <w:right w:val="single" w:color="000000" w:sz="4" w:space="0"/>
            </w:tcBorders>
            <w:noWrap/>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1086081909</w:t>
            </w:r>
          </w:p>
        </w:tc>
        <w:tc>
          <w:tcPr>
            <w:tcW w:w="2520"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rPr>
              <w:t>西药师</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A08</w:t>
            </w:r>
          </w:p>
        </w:tc>
        <w:tc>
          <w:tcPr>
            <w:tcW w:w="2409" w:type="dxa"/>
            <w:tcBorders>
              <w:top w:val="single" w:color="000000" w:sz="4" w:space="0"/>
              <w:left w:val="single" w:color="000000" w:sz="4" w:space="0"/>
              <w:bottom w:val="single" w:color="000000" w:sz="4" w:space="0"/>
              <w:right w:val="single" w:color="000000" w:sz="4" w:space="0"/>
            </w:tcBorders>
            <w:noWrap w:val="0"/>
            <w:vAlign w:val="center"/>
          </w:tcPr>
          <w:p>
            <w:pPr>
              <w:spacing w:beforeLines="0" w:afterLines="0"/>
              <w:jc w:val="center"/>
              <w:rPr>
                <w:rFonts w:hint="eastAsia" w:ascii="宋体" w:hAnsi="宋体"/>
                <w:color w:val="000000"/>
                <w:sz w:val="22"/>
                <w:lang w:val="en-US" w:eastAsia="zh-CN"/>
              </w:rPr>
            </w:pPr>
            <w:r>
              <w:rPr>
                <w:rFonts w:hint="eastAsia" w:ascii="宋体" w:hAnsi="宋体"/>
                <w:color w:val="000000"/>
                <w:sz w:val="22"/>
                <w:lang w:val="en-US" w:eastAsia="zh-CN"/>
              </w:rPr>
              <w:t>湘潭市第二人民医院</w:t>
            </w:r>
          </w:p>
        </w:tc>
      </w:tr>
    </w:tbl>
    <w:p>
      <w:pPr>
        <w:keepNext w:val="0"/>
        <w:keepLines w:val="0"/>
        <w:pageBreakBefore w:val="0"/>
        <w:kinsoku/>
        <w:wordWrap/>
        <w:overflowPunct/>
        <w:topLinePunct w:val="0"/>
        <w:bidi w:val="0"/>
        <w:spacing w:line="520" w:lineRule="exact"/>
        <w:rPr>
          <w:rFonts w:hint="eastAsia" w:ascii="仿宋_GB2312" w:hAnsi="仿宋_GB2312" w:eastAsia="仿宋_GB2312" w:cs="仿宋_GB2312"/>
          <w:b/>
          <w:color w:val="auto"/>
          <w:sz w:val="32"/>
          <w:szCs w:val="32"/>
          <w:highlight w:val="none"/>
        </w:rPr>
      </w:pPr>
    </w:p>
    <w:p>
      <w:pPr>
        <w:keepNext w:val="0"/>
        <w:keepLines w:val="0"/>
        <w:pageBreakBefore w:val="0"/>
        <w:kinsoku/>
        <w:wordWrap/>
        <w:overflowPunct/>
        <w:topLinePunct w:val="0"/>
        <w:bidi w:val="0"/>
        <w:spacing w:line="520" w:lineRule="exact"/>
        <w:rPr>
          <w:rFonts w:hint="eastAsia" w:ascii="仿宋_GB2312" w:hAnsi="仿宋_GB2312" w:eastAsia="仿宋_GB2312" w:cs="仿宋_GB2312"/>
          <w:b/>
          <w:color w:val="auto"/>
          <w:sz w:val="32"/>
          <w:szCs w:val="32"/>
          <w:highlight w:val="none"/>
        </w:rPr>
      </w:pPr>
    </w:p>
    <w:p>
      <w:pPr>
        <w:keepNext w:val="0"/>
        <w:keepLines w:val="0"/>
        <w:pageBreakBefore w:val="0"/>
        <w:kinsoku/>
        <w:wordWrap/>
        <w:overflowPunct/>
        <w:topLinePunct w:val="0"/>
        <w:bidi w:val="0"/>
        <w:spacing w:line="520" w:lineRule="exact"/>
        <w:rPr>
          <w:rFonts w:hint="default"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2</w:t>
      </w:r>
    </w:p>
    <w:p>
      <w:pPr>
        <w:keepNext w:val="0"/>
        <w:keepLines w:val="0"/>
        <w:pageBreakBefore w:val="0"/>
        <w:kinsoku/>
        <w:wordWrap/>
        <w:overflowPunct/>
        <w:topLinePunct w:val="0"/>
        <w:bidi w:val="0"/>
        <w:spacing w:line="520" w:lineRule="exact"/>
        <w:jc w:val="center"/>
        <w:rPr>
          <w:rFonts w:hint="eastAsia" w:ascii="方正小标宋简体" w:hAnsi="方正小标宋简体" w:eastAsia="方正小标宋简体" w:cs="方正小标宋简体"/>
          <w:bCs/>
          <w:spacing w:val="-20"/>
          <w:sz w:val="44"/>
          <w:szCs w:val="44"/>
          <w:highlight w:val="none"/>
          <w:lang w:eastAsia="zh-CN"/>
        </w:rPr>
      </w:pPr>
      <w:r>
        <w:rPr>
          <w:rFonts w:hint="eastAsia" w:ascii="方正小标宋简体" w:hAnsi="方正小标宋简体" w:eastAsia="方正小标宋简体" w:cs="方正小标宋简体"/>
          <w:bCs/>
          <w:spacing w:val="-20"/>
          <w:sz w:val="44"/>
          <w:szCs w:val="44"/>
          <w:highlight w:val="none"/>
          <w:lang w:eastAsia="zh-CN"/>
        </w:rPr>
        <w:t>面试考生须知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1.考生应携带本人有效身份证、笔试准考证，在规定时间到达指定的考生集中抽签处。超过时间仍未到达规定地点的，按弃权处理。未携带两证的，不得参加面试。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2.考生应遵守考场封闭管理规定。进入考点即关闭手机等通讯工具及其他智能穿戴设备并交相关工作人员，面试结束取回，离开考场才能开启。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3.考生通过抽签确定面试顺序号。在候考室，每名考生抽签确定面试顺序号。考生不得交换抽签顺序号，不得向他人透露抽签顺序号信息。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pacing w:val="-6"/>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pacing w:val="-6"/>
          <w:sz w:val="32"/>
          <w:szCs w:val="32"/>
          <w:highlight w:val="none"/>
        </w:rPr>
        <w:t>考生应服从统一管理，文明候考。不</w:t>
      </w:r>
      <w:r>
        <w:rPr>
          <w:rFonts w:hint="eastAsia" w:ascii="仿宋_GB2312" w:hAnsi="仿宋_GB2312" w:eastAsia="仿宋_GB2312" w:cs="仿宋_GB2312"/>
          <w:color w:val="auto"/>
          <w:spacing w:val="-6"/>
          <w:sz w:val="32"/>
          <w:szCs w:val="32"/>
          <w:highlight w:val="none"/>
          <w:lang w:eastAsia="zh-CN"/>
        </w:rPr>
        <w:t>得</w:t>
      </w:r>
      <w:r>
        <w:rPr>
          <w:rFonts w:hint="eastAsia" w:ascii="仿宋_GB2312" w:hAnsi="仿宋_GB2312" w:eastAsia="仿宋_GB2312" w:cs="仿宋_GB2312"/>
          <w:color w:val="auto"/>
          <w:spacing w:val="-6"/>
          <w:sz w:val="32"/>
          <w:szCs w:val="32"/>
          <w:highlight w:val="none"/>
        </w:rPr>
        <w:t>大声喧哗，不在场内抽烟，不擅自离开候考室，特殊情况须经工作人员同意并陪同前往。</w:t>
      </w:r>
    </w:p>
    <w:p>
      <w:pPr>
        <w:keepNext w:val="0"/>
        <w:keepLines w:val="0"/>
        <w:pageBreakBefore w:val="0"/>
        <w:widowControl w:val="0"/>
        <w:kinsoku/>
        <w:wordWrap/>
        <w:overflowPunct/>
        <w:topLinePunct w:val="0"/>
        <w:autoSpaceDE/>
        <w:autoSpaceDN/>
        <w:bidi w:val="0"/>
        <w:adjustRightInd/>
        <w:snapToGrid/>
        <w:spacing w:line="520" w:lineRule="exact"/>
        <w:ind w:firstLine="616"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6"/>
          <w:sz w:val="32"/>
          <w:szCs w:val="32"/>
          <w:highlight w:val="none"/>
        </w:rPr>
        <w:t>5.考生应遵守面试纪律，文明应考。不携带任何物品、不佩戴手表或饰品进入面试考</w:t>
      </w:r>
      <w:r>
        <w:rPr>
          <w:rFonts w:hint="eastAsia" w:ascii="仿宋_GB2312" w:hAnsi="仿宋_GB2312" w:eastAsia="仿宋_GB2312" w:cs="仿宋_GB2312"/>
          <w:color w:val="auto"/>
          <w:sz w:val="32"/>
          <w:szCs w:val="32"/>
          <w:highlight w:val="none"/>
        </w:rPr>
        <w:t>场。面试过程中，不在题签上做任何标记，不以任何方式向考官或考场内工作人员透露本人姓名、毕业学校、工作单位等个人信息。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6.面试结束后，不得带走或损毁面试题签。到指定地点等候本人面试成绩，须保持安静，不得泄露面试试题信息。得到成绩后须立即离场，不在考点内逗留。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7、不得做违反考试公平公正原则的其他事情。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小标宋简体" w:hAnsi="方正小标宋简体" w:eastAsia="方正小标宋简体" w:cs="方正小标宋简体"/>
          <w:bCs/>
          <w:spacing w:val="-20"/>
          <w:sz w:val="40"/>
          <w:szCs w:val="40"/>
          <w:highlight w:val="none"/>
          <w:lang w:eastAsia="zh-CN"/>
        </w:rPr>
      </w:pPr>
      <w:r>
        <w:rPr>
          <w:rFonts w:hint="eastAsia" w:ascii="仿宋_GB2312" w:hAnsi="仿宋_GB2312" w:eastAsia="仿宋_GB2312" w:cs="仿宋_GB2312"/>
          <w:color w:val="auto"/>
          <w:sz w:val="32"/>
          <w:szCs w:val="32"/>
          <w:highlight w:val="none"/>
        </w:rPr>
        <w:t>以上规定，如果违反，视情节轻重取消本次考试资格或宣布本次考试成绩无效，并按相关规定进行处理。</w:t>
      </w:r>
    </w:p>
    <w:p>
      <w:bookmarkStart w:id="0" w:name="_GoBack"/>
      <w:bookmarkEnd w:id="0"/>
    </w:p>
    <w:sectPr>
      <w:footerReference r:id="rId3" w:type="default"/>
      <w:footerReference r:id="rId4" w:type="even"/>
      <w:pgSz w:w="11906" w:h="16838"/>
      <w:pgMar w:top="2098" w:right="1474" w:bottom="1984" w:left="158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embedRegular r:id="rId1" w:fontKey="{8895C78D-F34E-4CD4-9848-FA49EBE9979F}"/>
  </w:font>
  <w:font w:name="方正小标宋简体">
    <w:panose1 w:val="02000000000000000000"/>
    <w:charset w:val="86"/>
    <w:family w:val="auto"/>
    <w:pitch w:val="default"/>
    <w:sig w:usb0="00000001" w:usb1="08000000" w:usb2="00000000" w:usb3="00000000" w:csb0="00040000" w:csb1="00000000"/>
    <w:embedRegular r:id="rId2" w:fontKey="{35A5D71D-DFA7-45D4-8F48-706D3DA383B3}"/>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6</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xYTk0M2Q0YjI3YTNhNGFhYjM5MmZmOGY4MDkxMjUifQ=="/>
  </w:docVars>
  <w:rsids>
    <w:rsidRoot w:val="406E2828"/>
    <w:rsid w:val="406E2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2024-06-25T09:38:00Z</dcterms:created>
  <dc:creator>薄荷</dc:creator>
  <cp:lastModifiedBy>薄荷</cp:lastModifiedBy>
  <dcterms:modified xsi:type="dcterms:W3CDTF">2024-06-25T09:39:13Z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2DF4F09C02B34CDCB5555EEE7AC50083_11</vt:lpwstr>
  </property>
</Properties>
</file>